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9FCF" w14:textId="77777777" w:rsidR="00141125" w:rsidRPr="00487124" w:rsidRDefault="00487124" w:rsidP="00487124">
      <w:pPr>
        <w:jc w:val="center"/>
        <w:rPr>
          <w:sz w:val="40"/>
          <w:szCs w:val="40"/>
          <w:u w:val="single"/>
        </w:rPr>
      </w:pPr>
      <w:r w:rsidRPr="00487124">
        <w:rPr>
          <w:sz w:val="40"/>
          <w:szCs w:val="40"/>
          <w:u w:val="single"/>
        </w:rPr>
        <w:t>FICHE TECHNIQUE</w:t>
      </w:r>
    </w:p>
    <w:p w14:paraId="5687B9A4" w14:textId="77777777" w:rsidR="004E5450" w:rsidRPr="004E5450" w:rsidRDefault="004E5450" w:rsidP="004E5450">
      <w:pPr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3C47D7" wp14:editId="2F9D09E7">
            <wp:simplePos x="0" y="0"/>
            <wp:positionH relativeFrom="column">
              <wp:posOffset>2843530</wp:posOffset>
            </wp:positionH>
            <wp:positionV relativeFrom="paragraph">
              <wp:posOffset>473710</wp:posOffset>
            </wp:positionV>
            <wp:extent cx="3354705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65" y="21529"/>
                <wp:lineTo x="21465" y="0"/>
                <wp:lineTo x="0" y="0"/>
              </wp:wrapPolygon>
            </wp:wrapTight>
            <wp:docPr id="3" name="Image 3" descr="Une image contenant Poubelle, conteneur, 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691B411" wp14:editId="0EB5BF27">
            <wp:simplePos x="0" y="0"/>
            <wp:positionH relativeFrom="margin">
              <wp:posOffset>-548640</wp:posOffset>
            </wp:positionH>
            <wp:positionV relativeFrom="paragraph">
              <wp:posOffset>416560</wp:posOffset>
            </wp:positionV>
            <wp:extent cx="3324225" cy="2785745"/>
            <wp:effectExtent l="0" t="0" r="9525" b="0"/>
            <wp:wrapTight wrapText="bothSides">
              <wp:wrapPolygon edited="0">
                <wp:start x="0" y="0"/>
                <wp:lineTo x="0" y="21418"/>
                <wp:lineTo x="21538" y="21418"/>
                <wp:lineTo x="21538" y="0"/>
                <wp:lineTo x="0" y="0"/>
              </wp:wrapPolygon>
            </wp:wrapTight>
            <wp:docPr id="1" name="Image 1" descr="Une image contenant conteneur, boîte, cart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124" w:rsidRPr="00487124">
        <w:rPr>
          <w:b/>
          <w:bCs/>
          <w:color w:val="538135" w:themeColor="accent6" w:themeShade="BF"/>
          <w:sz w:val="40"/>
          <w:szCs w:val="40"/>
          <w:u w:val="single"/>
        </w:rPr>
        <w:t>LA PATE AUROUZE 25</w:t>
      </w:r>
    </w:p>
    <w:p w14:paraId="2FE9A291" w14:textId="77777777" w:rsidR="00487124" w:rsidRPr="00487124" w:rsidRDefault="00487124" w:rsidP="00487124">
      <w:pPr>
        <w:jc w:val="center"/>
        <w:rPr>
          <w:rFonts w:asciiTheme="majorHAnsi" w:hAnsiTheme="majorHAnsi" w:cstheme="majorHAnsi"/>
          <w:sz w:val="32"/>
          <w:szCs w:val="32"/>
        </w:rPr>
      </w:pPr>
      <w:r w:rsidRPr="00487124">
        <w:rPr>
          <w:rFonts w:asciiTheme="majorHAnsi" w:hAnsiTheme="majorHAnsi" w:cstheme="majorHAnsi"/>
          <w:b/>
          <w:bCs/>
          <w:sz w:val="32"/>
          <w:szCs w:val="32"/>
          <w:u w:val="single"/>
        </w:rPr>
        <w:t>Présentation</w:t>
      </w:r>
    </w:p>
    <w:p w14:paraId="310E7449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Type de produit</w:t>
      </w:r>
    </w:p>
    <w:p w14:paraId="128FE5AC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Type de formulation</w:t>
      </w:r>
    </w:p>
    <w:p w14:paraId="356AA019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Substance active</w:t>
      </w:r>
    </w:p>
    <w:p w14:paraId="568CA3CA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Concentration</w:t>
      </w:r>
    </w:p>
    <w:p w14:paraId="6C746BE0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Amérisant</w:t>
      </w:r>
    </w:p>
    <w:p w14:paraId="495B5501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TP14 – Rodenticide</w:t>
      </w:r>
    </w:p>
    <w:p w14:paraId="4FD8DF1B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Pâte prête à l’emploi (RB)</w:t>
      </w:r>
    </w:p>
    <w:p w14:paraId="4DF3DD2F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Difenacoum (N°CAS 56073-07-5) 0,0025%</w:t>
      </w:r>
    </w:p>
    <w:p w14:paraId="1F792DC4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m/m</w:t>
      </w:r>
    </w:p>
    <w:p w14:paraId="06DD7BF1" w14:textId="77777777" w:rsidR="004E5450" w:rsidRPr="004E5450" w:rsidRDefault="00487124" w:rsidP="004E5450">
      <w:pPr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Benzoate de denatonium 10ppm</w:t>
      </w:r>
    </w:p>
    <w:p w14:paraId="79E887D1" w14:textId="77777777" w:rsidR="00487124" w:rsidRPr="00487124" w:rsidRDefault="00487124" w:rsidP="00487124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487124">
        <w:rPr>
          <w:rFonts w:asciiTheme="majorHAnsi" w:hAnsiTheme="majorHAnsi" w:cstheme="majorHAnsi"/>
          <w:b/>
          <w:bCs/>
          <w:sz w:val="28"/>
          <w:szCs w:val="28"/>
          <w:u w:val="single"/>
        </w:rPr>
        <w:t>Informations réglementaires</w:t>
      </w:r>
    </w:p>
    <w:p w14:paraId="68AF50C3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Nom homologué : PATE DF 25</w:t>
      </w:r>
    </w:p>
    <w:p w14:paraId="28BA4227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N° d’AMM : FR-2012-0506 / produit destiné à une utilisation par le grand</w:t>
      </w:r>
    </w:p>
    <w:p w14:paraId="0C888892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public et les non professionnels.</w:t>
      </w:r>
    </w:p>
    <w:p w14:paraId="6CEBF791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Organismes ciblés : Rats noirs (</w:t>
      </w:r>
      <w:r w:rsidRPr="00487124">
        <w:rPr>
          <w:rFonts w:asciiTheme="majorHAnsi" w:hAnsiTheme="majorHAnsi" w:cstheme="majorHAnsi"/>
          <w:i/>
          <w:iCs/>
        </w:rPr>
        <w:t>Rattus rattus</w:t>
      </w:r>
      <w:r w:rsidRPr="00487124">
        <w:rPr>
          <w:rFonts w:asciiTheme="majorHAnsi" w:hAnsiTheme="majorHAnsi" w:cstheme="majorHAnsi"/>
        </w:rPr>
        <w:t>), rats bruns (</w:t>
      </w:r>
      <w:r w:rsidRPr="00487124">
        <w:rPr>
          <w:rFonts w:asciiTheme="majorHAnsi" w:hAnsiTheme="majorHAnsi" w:cstheme="majorHAnsi"/>
          <w:i/>
          <w:iCs/>
        </w:rPr>
        <w:t>Rattus norvegicus</w:t>
      </w:r>
      <w:r w:rsidRPr="00487124">
        <w:rPr>
          <w:rFonts w:asciiTheme="majorHAnsi" w:hAnsiTheme="majorHAnsi" w:cstheme="majorHAnsi"/>
        </w:rPr>
        <w:t>),</w:t>
      </w:r>
    </w:p>
    <w:p w14:paraId="33856E29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souris (</w:t>
      </w:r>
      <w:r w:rsidRPr="00487124">
        <w:rPr>
          <w:rFonts w:asciiTheme="majorHAnsi" w:hAnsiTheme="majorHAnsi" w:cstheme="majorHAnsi"/>
          <w:i/>
          <w:iCs/>
        </w:rPr>
        <w:t>Mus musculus</w:t>
      </w:r>
      <w:r w:rsidRPr="00487124">
        <w:rPr>
          <w:rFonts w:asciiTheme="majorHAnsi" w:hAnsiTheme="majorHAnsi" w:cstheme="majorHAnsi"/>
        </w:rPr>
        <w:t>).</w:t>
      </w:r>
    </w:p>
    <w:p w14:paraId="20DFF7BC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Application : Utilisation en intérieur, autour des bâtiments, aux abords des</w:t>
      </w:r>
    </w:p>
    <w:p w14:paraId="4B2F9CCC" w14:textId="77777777" w:rsidR="00487124" w:rsidRPr="00487124" w:rsidRDefault="00487124" w:rsidP="00487124">
      <w:pPr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infra structures et dans les déchetteries.</w:t>
      </w:r>
    </w:p>
    <w:p w14:paraId="7C9F0C1B" w14:textId="77777777" w:rsidR="00487124" w:rsidRPr="00487124" w:rsidRDefault="00487124" w:rsidP="00487124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487124">
        <w:rPr>
          <w:rFonts w:asciiTheme="majorHAnsi" w:hAnsiTheme="majorHAnsi" w:cstheme="majorHAnsi"/>
          <w:b/>
          <w:bCs/>
          <w:sz w:val="28"/>
          <w:szCs w:val="28"/>
          <w:u w:val="single"/>
        </w:rPr>
        <w:t>Mode d’action</w:t>
      </w:r>
    </w:p>
    <w:p w14:paraId="7CA06B61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Le Difenacoum est un anticoagulant de deuxième génération.</w:t>
      </w:r>
    </w:p>
    <w:p w14:paraId="314466F1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Les rongeurs meurent d’hémorragies internes. Les premiers symptômes</w:t>
      </w:r>
    </w:p>
    <w:p w14:paraId="282E0B63" w14:textId="77777777" w:rsidR="00487124" w:rsidRPr="00487124" w:rsidRDefault="00487124" w:rsidP="00487124">
      <w:pPr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apparaissent quelques heures après l’ingestion et la mort survient en moyenne 3 à 14 jours plus tard</w:t>
      </w:r>
    </w:p>
    <w:p w14:paraId="097794A8" w14:textId="77777777" w:rsidR="004E5450" w:rsidRDefault="004E5450" w:rsidP="00487124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4B8EB3A4" w14:textId="77777777" w:rsidR="00487124" w:rsidRPr="00487124" w:rsidRDefault="00487124" w:rsidP="00487124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487124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Mode et doses d’emploi</w:t>
      </w:r>
    </w:p>
    <w:p w14:paraId="3C8E86C6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Le port des gants est recommandé. Le produit doit être utilisé dans des</w:t>
      </w:r>
    </w:p>
    <w:p w14:paraId="42D53EDC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postes d’appâtage sécurisés. Le nombre de points d’appâtage est fonction</w:t>
      </w:r>
    </w:p>
    <w:p w14:paraId="09D94B1A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du site du traitement, du contexte géographique, de l’importance et de la</w:t>
      </w:r>
    </w:p>
    <w:p w14:paraId="7022DB5D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gravité de l’infestation.</w:t>
      </w:r>
    </w:p>
    <w:p w14:paraId="04468476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Contre les rats : 100 g de produit par poste d’appâtage.</w:t>
      </w:r>
    </w:p>
    <w:p w14:paraId="20545825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Si plusieurs postes d’appâtage sont nécessaires, la distance minimale</w:t>
      </w:r>
    </w:p>
    <w:p w14:paraId="5EC63C89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séparant deux postes doit être de 5 mètres minimum.</w:t>
      </w:r>
    </w:p>
    <w:p w14:paraId="760D3D57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Contre les souris : 30 g de produit par poste d’appâtage.</w:t>
      </w:r>
    </w:p>
    <w:p w14:paraId="74F7302F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Si plusieurs postes d’appâtage sont nécessaires, la distance minimale</w:t>
      </w:r>
    </w:p>
    <w:p w14:paraId="4A006566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séparant deux postes doit être de 3 mètres minimum.</w:t>
      </w:r>
    </w:p>
    <w:p w14:paraId="0C3ECA4E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Adapter le nombre de sachets de 10 g au traitement à effectuer. Ne pas</w:t>
      </w:r>
    </w:p>
    <w:p w14:paraId="5FE3DA6A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ouvrir les sachets. Inspecter et réapprovisionner les boites d’appâts quelques</w:t>
      </w:r>
    </w:p>
    <w:p w14:paraId="433F0AAB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jours après la 1ère application puis une fois par semaine tant que l’appât est</w:t>
      </w:r>
    </w:p>
    <w:p w14:paraId="64892D1E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consommé. Retirer toutes les boîtes d’appâts après la fin du traitement. Se</w:t>
      </w:r>
    </w:p>
    <w:p w14:paraId="7D94C06C" w14:textId="77777777" w:rsid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87124">
        <w:rPr>
          <w:rFonts w:asciiTheme="majorHAnsi" w:hAnsiTheme="majorHAnsi" w:cstheme="majorHAnsi"/>
        </w:rPr>
        <w:t>laver les mains après utilisation.</w:t>
      </w:r>
    </w:p>
    <w:p w14:paraId="4EA6D7FC" w14:textId="77777777" w:rsidR="004E5450" w:rsidRDefault="004E5450" w:rsidP="004E54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71B8B5FC" w14:textId="630345E0" w:rsidR="00487124" w:rsidRDefault="00B07FFA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C</w:t>
      </w:r>
      <w:r w:rsidR="00487124" w:rsidRPr="00487124">
        <w:rPr>
          <w:rFonts w:asciiTheme="majorHAnsi" w:hAnsiTheme="majorHAnsi" w:cstheme="majorHAnsi"/>
          <w:b/>
          <w:bCs/>
          <w:sz w:val="28"/>
          <w:szCs w:val="28"/>
          <w:u w:val="single"/>
        </w:rPr>
        <w:t>onditionnement</w:t>
      </w:r>
    </w:p>
    <w:p w14:paraId="562A83C6" w14:textId="77777777" w:rsid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380E2D41" w14:textId="799679C9" w:rsidR="00487124" w:rsidRDefault="00487124" w:rsidP="00B07FF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" w:hAnsi="HelveticaNeue-Light" w:cs="HelveticaNeue-Light"/>
          <w:sz w:val="18"/>
          <w:szCs w:val="18"/>
        </w:rPr>
      </w:pPr>
      <w:r>
        <w:rPr>
          <w:rFonts w:ascii="HelveticaNeue-Light" w:hAnsi="HelveticaNeue-Light" w:cs="HelveticaNeue-Light"/>
          <w:sz w:val="18"/>
          <w:szCs w:val="18"/>
        </w:rPr>
        <w:t>Étui de 150g (15x10g)</w:t>
      </w:r>
    </w:p>
    <w:p w14:paraId="1CCB138D" w14:textId="7FF5B16C" w:rsidR="00B07FFA" w:rsidRDefault="00B07FFA" w:rsidP="00B07FF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" w:hAnsi="HelveticaNeue-Light" w:cs="HelveticaNeue-Light"/>
          <w:sz w:val="18"/>
          <w:szCs w:val="18"/>
        </w:rPr>
      </w:pPr>
      <w:r>
        <w:rPr>
          <w:rFonts w:ascii="HelveticaNeue-Light" w:hAnsi="HelveticaNeue-Light" w:cs="HelveticaNeue-Light"/>
          <w:sz w:val="18"/>
          <w:szCs w:val="18"/>
        </w:rPr>
        <w:t>Seau de 5kg (500x10g)</w:t>
      </w:r>
      <w:bookmarkStart w:id="0" w:name="_GoBack"/>
      <w:bookmarkEnd w:id="0"/>
    </w:p>
    <w:p w14:paraId="12EAE6CA" w14:textId="77777777" w:rsidR="004E5450" w:rsidRDefault="004E5450" w:rsidP="004E54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58A4947F" w14:textId="77777777" w:rsidR="00487124" w:rsidRPr="004E5450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4E5450">
        <w:rPr>
          <w:rFonts w:asciiTheme="majorHAnsi" w:hAnsiTheme="majorHAnsi" w:cstheme="majorHAnsi"/>
          <w:b/>
          <w:bCs/>
          <w:sz w:val="28"/>
          <w:szCs w:val="28"/>
          <w:u w:val="single"/>
        </w:rPr>
        <w:t>Précaution d’utilisation</w:t>
      </w:r>
    </w:p>
    <w:p w14:paraId="3CE1A00F" w14:textId="77777777" w:rsid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="HelveticaNeue" w:hAnsi="HelveticaNeue" w:cs="HelveticaNeue"/>
          <w:sz w:val="16"/>
          <w:szCs w:val="16"/>
        </w:rPr>
      </w:pPr>
    </w:p>
    <w:p w14:paraId="36C623B6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TP14. Avant toute utilisation, assurez-vous que celle-ci est</w:t>
      </w:r>
    </w:p>
    <w:p w14:paraId="6A54C2CC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indispensable, notamment dans les lieux fréquentés par le grand public.</w:t>
      </w:r>
    </w:p>
    <w:p w14:paraId="50C20977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Privilégiez chaque fois que possible les méthodes alternatives et les</w:t>
      </w:r>
    </w:p>
    <w:p w14:paraId="3EF1EFA6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produits présentant le risque le plus faible pour la santé humaine</w:t>
      </w:r>
    </w:p>
    <w:p w14:paraId="62838FD7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et pour l’environnement. Utiliser les rodenticides avec précaution.</w:t>
      </w:r>
    </w:p>
    <w:p w14:paraId="6C321175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Avant toute utilisation, lire l’étiquette et les informations concernant</w:t>
      </w:r>
    </w:p>
    <w:p w14:paraId="57D493FD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le produit. Dangereux. Respecter les précautions d’emploi.</w:t>
      </w:r>
    </w:p>
    <w:p w14:paraId="113E2CB3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Envisager l’adoption de mesures de contrôle préventives (combler les</w:t>
      </w:r>
    </w:p>
    <w:p w14:paraId="19459610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trous, retirer autant que possible les aliments et boissons éventuels,</w:t>
      </w:r>
    </w:p>
    <w:p w14:paraId="1D9A9EC9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etc.) pour améliorer l’ingestion du produit et réduire le risque de nouvelle</w:t>
      </w:r>
    </w:p>
    <w:p w14:paraId="4FCA369F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infestation. NE PAS UTILISER DE RODENTICIDES ANTICOAGULANTS</w:t>
      </w:r>
    </w:p>
    <w:p w14:paraId="1B9E550B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EN GUISE D’APPÂTS PERMANENTS (par exemple, pour éviter toute</w:t>
      </w:r>
    </w:p>
    <w:p w14:paraId="24315453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infestation de rongeurs ou pour détecter l’activité de rongeurs).</w:t>
      </w:r>
    </w:p>
    <w:p w14:paraId="137CB904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L’utilisation de ce produit devrait permettre d’éliminer les rongeurs sous</w:t>
      </w:r>
    </w:p>
    <w:p w14:paraId="32D27F28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35 jours. En cas de soupçon d’inefficacité à la fin du traitement (si</w:t>
      </w:r>
    </w:p>
    <w:p w14:paraId="5064FDEB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l’activité des rongeurs continue d’être observée), demander conseil</w:t>
      </w:r>
    </w:p>
    <w:p w14:paraId="4D6DF8C9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au fournisseur du produit ou contacter un service de contrôle des</w:t>
      </w:r>
    </w:p>
    <w:p w14:paraId="0EEE1DC0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organismes nuisibles.</w:t>
      </w:r>
    </w:p>
    <w:p w14:paraId="5FF80359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Chaque poste d’appâtage doit être muni d’une étiquette mentionnant</w:t>
      </w:r>
    </w:p>
    <w:p w14:paraId="48A55ACD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les informations suivantes :</w:t>
      </w:r>
    </w:p>
    <w:p w14:paraId="0A9952C7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- « ne pas déplacer ni ouvrir »</w:t>
      </w:r>
    </w:p>
    <w:p w14:paraId="370949C6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- « contient un rodenticide »</w:t>
      </w:r>
    </w:p>
    <w:p w14:paraId="7A601495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- « nom du produit ou numéro d’autorisation »</w:t>
      </w:r>
    </w:p>
    <w:p w14:paraId="5302884C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- « substance(s) active(s) »</w:t>
      </w:r>
    </w:p>
    <w:p w14:paraId="2333A24E" w14:textId="77777777" w:rsidR="004E5450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- « en cas d’incident, contacter un centre antipoison N° ORFILA : +33</w:t>
      </w:r>
      <w:r w:rsidR="004E5450" w:rsidRPr="004E5450">
        <w:rPr>
          <w:rFonts w:asciiTheme="majorHAnsi" w:hAnsiTheme="majorHAnsi" w:cstheme="majorHAnsi"/>
        </w:rPr>
        <w:t xml:space="preserve"> (0)1 45 42 59 59</w:t>
      </w:r>
    </w:p>
    <w:p w14:paraId="0EE643E2" w14:textId="77777777" w:rsid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32C6FBC3" w14:textId="77777777" w:rsid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4E5450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Elimination</w:t>
      </w:r>
    </w:p>
    <w:p w14:paraId="16B52655" w14:textId="77777777" w:rsidR="004E5450" w:rsidRP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3E8C5116" w14:textId="77777777" w:rsidR="004E5450" w:rsidRP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Rechercher et éliminer les cadavres de rongeurs pendant le traitement, au</w:t>
      </w:r>
    </w:p>
    <w:p w14:paraId="280F9A67" w14:textId="77777777" w:rsidR="004E5450" w:rsidRP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minimum chaque fois que les postes d’appâtage sont inspectés. Éliminer les</w:t>
      </w:r>
    </w:p>
    <w:p w14:paraId="79A319FC" w14:textId="77777777" w:rsidR="004E5450" w:rsidRP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cadavres de rongeurs conformément à la réglementation locale.</w:t>
      </w:r>
    </w:p>
    <w:p w14:paraId="0128DE13" w14:textId="77777777" w:rsidR="004E5450" w:rsidRP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Ne se débarrasser de ce produit et de son récipient qu’en prenant toutes</w:t>
      </w:r>
    </w:p>
    <w:p w14:paraId="17DC2664" w14:textId="77777777" w:rsidR="004E5450" w:rsidRP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précautions d’usage. Ne pas rejeter le produit dans l’environnement ou les</w:t>
      </w:r>
    </w:p>
    <w:p w14:paraId="73B9999A" w14:textId="77777777" w:rsidR="004E5450" w:rsidRP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canalisations. Déposer les postes d’appâtage usagés en déchetterie ou tout</w:t>
      </w:r>
    </w:p>
    <w:p w14:paraId="32469508" w14:textId="77777777" w:rsid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4E5450">
        <w:rPr>
          <w:rFonts w:asciiTheme="majorHAnsi" w:hAnsiTheme="majorHAnsi" w:cstheme="majorHAnsi"/>
        </w:rPr>
        <w:t>autre centre de collecte approprié. L’emballage ayant été en contact avec le</w:t>
      </w:r>
    </w:p>
    <w:p w14:paraId="58D01B50" w14:textId="77777777" w:rsid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</w:p>
    <w:p w14:paraId="42B4A9DF" w14:textId="77777777" w:rsidR="004E5450" w:rsidRPr="004E5450" w:rsidRDefault="004E5450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56"/>
          <w:szCs w:val="56"/>
          <w:u w:val="single"/>
        </w:rPr>
      </w:pPr>
    </w:p>
    <w:p w14:paraId="27E5B9BD" w14:textId="77777777" w:rsidR="00487124" w:rsidRPr="004E5450" w:rsidRDefault="00487124" w:rsidP="004E545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33134674" w14:textId="77777777" w:rsid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05828BDD" w14:textId="77777777" w:rsidR="00487124" w:rsidRPr="00487124" w:rsidRDefault="00487124" w:rsidP="004871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sectPr w:rsidR="00487124" w:rsidRPr="0048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77ED8" w14:textId="77777777" w:rsidR="00830468" w:rsidRDefault="00830468" w:rsidP="00487124">
      <w:pPr>
        <w:spacing w:after="0" w:line="240" w:lineRule="auto"/>
      </w:pPr>
      <w:r>
        <w:separator/>
      </w:r>
    </w:p>
  </w:endnote>
  <w:endnote w:type="continuationSeparator" w:id="0">
    <w:p w14:paraId="140C68AF" w14:textId="77777777" w:rsidR="00830468" w:rsidRDefault="00830468" w:rsidP="0048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AE7E5" w14:textId="77777777" w:rsidR="00830468" w:rsidRDefault="00830468" w:rsidP="00487124">
      <w:pPr>
        <w:spacing w:after="0" w:line="240" w:lineRule="auto"/>
      </w:pPr>
      <w:r>
        <w:separator/>
      </w:r>
    </w:p>
  </w:footnote>
  <w:footnote w:type="continuationSeparator" w:id="0">
    <w:p w14:paraId="6387F520" w14:textId="77777777" w:rsidR="00830468" w:rsidRDefault="00830468" w:rsidP="00487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24"/>
    <w:rsid w:val="00141125"/>
    <w:rsid w:val="00487124"/>
    <w:rsid w:val="004E5450"/>
    <w:rsid w:val="00830468"/>
    <w:rsid w:val="00B07FFA"/>
    <w:rsid w:val="00B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3000"/>
  <w15:chartTrackingRefBased/>
  <w15:docId w15:val="{3AFD4CF7-730C-43EA-870E-35F5C9B8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124"/>
  </w:style>
  <w:style w:type="paragraph" w:styleId="Pieddepage">
    <w:name w:val="footer"/>
    <w:basedOn w:val="Normal"/>
    <w:link w:val="PieddepageCar"/>
    <w:uiPriority w:val="99"/>
    <w:unhideWhenUsed/>
    <w:rsid w:val="0048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124"/>
  </w:style>
  <w:style w:type="paragraph" w:styleId="NormalWeb">
    <w:name w:val="Normal (Web)"/>
    <w:basedOn w:val="Normal"/>
    <w:uiPriority w:val="99"/>
    <w:semiHidden/>
    <w:unhideWhenUsed/>
    <w:rsid w:val="004E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magasin</dc:creator>
  <cp:keywords/>
  <dc:description/>
  <cp:lastModifiedBy>magasin</cp:lastModifiedBy>
  <cp:revision>2</cp:revision>
  <dcterms:created xsi:type="dcterms:W3CDTF">2023-12-21T13:54:00Z</dcterms:created>
  <dcterms:modified xsi:type="dcterms:W3CDTF">2023-12-21T14:16:00Z</dcterms:modified>
</cp:coreProperties>
</file>